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4B8" w:rsidRDefault="001F14B8" w:rsidP="001F14B8">
      <w:pPr>
        <w:rPr>
          <w:rFonts w:eastAsia="华文中宋"/>
          <w:b/>
          <w:sz w:val="34"/>
          <w:szCs w:val="34"/>
        </w:rPr>
      </w:pPr>
      <w:r>
        <w:rPr>
          <w:rFonts w:eastAsia="黑体"/>
          <w:sz w:val="30"/>
          <w:szCs w:val="30"/>
        </w:rPr>
        <w:t>附件</w:t>
      </w:r>
      <w:r>
        <w:rPr>
          <w:rFonts w:eastAsia="黑体" w:hint="eastAsia"/>
          <w:sz w:val="30"/>
          <w:szCs w:val="30"/>
        </w:rPr>
        <w:t>2</w:t>
      </w:r>
      <w:r>
        <w:rPr>
          <w:rFonts w:eastAsia="华文中宋"/>
          <w:b/>
          <w:sz w:val="34"/>
          <w:szCs w:val="34"/>
        </w:rPr>
        <w:t xml:space="preserve"> </w:t>
      </w:r>
    </w:p>
    <w:p w:rsidR="001F14B8" w:rsidRDefault="001F14B8" w:rsidP="001F14B8">
      <w:pPr>
        <w:spacing w:line="540" w:lineRule="exact"/>
        <w:jc w:val="center"/>
        <w:rPr>
          <w:rFonts w:ascii="仿宋" w:eastAsia="仿宋" w:hAnsi="仿宋" w:cs="仿宋"/>
          <w:b/>
          <w:sz w:val="40"/>
          <w:szCs w:val="40"/>
        </w:rPr>
      </w:pPr>
      <w:bookmarkStart w:id="0" w:name="_GoBack"/>
      <w:r>
        <w:rPr>
          <w:rFonts w:ascii="仿宋" w:eastAsia="仿宋" w:hAnsi="仿宋" w:cs="仿宋" w:hint="eastAsia"/>
          <w:b/>
          <w:sz w:val="40"/>
          <w:szCs w:val="40"/>
        </w:rPr>
        <w:t>江苏大学生线上国际课程</w:t>
      </w:r>
    </w:p>
    <w:p w:rsidR="001F14B8" w:rsidRDefault="001F14B8" w:rsidP="001F14B8">
      <w:pPr>
        <w:spacing w:line="540" w:lineRule="exact"/>
        <w:jc w:val="center"/>
        <w:rPr>
          <w:rFonts w:ascii="仿宋" w:eastAsia="仿宋" w:hAnsi="仿宋" w:cs="仿宋"/>
          <w:b/>
          <w:sz w:val="40"/>
          <w:szCs w:val="40"/>
        </w:rPr>
      </w:pPr>
      <w:r>
        <w:rPr>
          <w:rFonts w:ascii="仿宋" w:eastAsia="仿宋" w:hAnsi="仿宋" w:cs="仿宋" w:hint="eastAsia"/>
          <w:b/>
          <w:sz w:val="40"/>
          <w:szCs w:val="40"/>
        </w:rPr>
        <w:t>科研项目介绍</w:t>
      </w:r>
      <w:bookmarkEnd w:id="0"/>
    </w:p>
    <w:p w:rsidR="001F14B8" w:rsidRDefault="001F14B8" w:rsidP="001F14B8">
      <w:pPr>
        <w:spacing w:line="540" w:lineRule="exact"/>
        <w:jc w:val="center"/>
        <w:rPr>
          <w:rFonts w:ascii="仿宋" w:eastAsia="仿宋" w:hAnsi="仿宋" w:cs="仿宋"/>
          <w:b/>
          <w:bCs/>
          <w:sz w:val="40"/>
          <w:szCs w:val="40"/>
        </w:rPr>
      </w:pP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一、《全球化趋势下的教育与公共政策研究》</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1.项目背景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教育及学校教育长期以来一直与国际化和经济全球一体化的进程密切相关。近年来，各国政府也越来越多地参与全球教育交流与政策制定，参与相关国际或区域性组织发起的论坛讨论。例如：经济合作与发展组织(OECD)、7国集团(G7)、世界银行、欧洲联盟(欧盟)、世界贸易组织(WTO)、东南亚国家联盟(ASEAN)等。各国间的教育体制表现形式成为关注的重要问题，教育的成功在很大程度上反映出经济竞争力的强弱。自上世纪80年代以来，如何提供更加优质的教育和培训一直为各国政府所关注，各国政府都在努力探寻既能保证质量，又具经济性的教育改革之路，采取相关措施调整教育政策进而提高教育的效率。美国和英国等发达国家正是在此背景下，大力推进国内教育市场化。2000年，国际学生评估项目PISA (OECD举办的大型国际性教育成果比较和监控项目)开始提供一种比较各国教育质量的方法与途径。在本课程中，授课教授将带领我们共同探讨全球化趋势下的教育与公共政策的宏观及微观问题，即教育政策和社会关系在社会内部及社会之间的动态变化。</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2.项目介绍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lastRenderedPageBreak/>
        <w:t>课程重在培养全球化背景下学生信息筛选能力及正确的思考方式；提高批判性思维及分析能力；提升对于教育理论、公共政策及相互间关系的理解；通过训练掌握复杂问题的表达方式及全球格局角度下的思维方式。</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3.相关专业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教育学、公共政策、国际关系、全球治理等相关专业的学生。</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4.授课教师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牛津大学哈里斯曼彻斯特学院Liam Francis Gearon教授</w:t>
      </w:r>
    </w:p>
    <w:p w:rsidR="001F14B8" w:rsidRDefault="001F14B8" w:rsidP="001F14B8">
      <w:pPr>
        <w:pStyle w:val="a3"/>
        <w:widowControl/>
        <w:spacing w:beforeAutospacing="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他是牛津大学教育系教授，牛津大学哈里斯曼彻斯特学院高级研究员、澳大利亚纽卡斯尔大学联合教授、爱尔兰天主教研究中心访问教授，</w:t>
      </w:r>
    </w:p>
    <w:p w:rsidR="001F14B8" w:rsidRDefault="001F14B8" w:rsidP="001F14B8">
      <w:pPr>
        <w:pStyle w:val="a3"/>
        <w:widowControl/>
        <w:spacing w:beforeAutospacing="0" w:afterAutospacing="0"/>
        <w:jc w:val="both"/>
        <w:rPr>
          <w:rFonts w:ascii="仿宋" w:eastAsia="仿宋" w:hAnsi="仿宋" w:cs="仿宋"/>
          <w:kern w:val="2"/>
          <w:sz w:val="28"/>
          <w:szCs w:val="28"/>
        </w:rPr>
      </w:pPr>
      <w:r>
        <w:rPr>
          <w:rFonts w:ascii="仿宋" w:eastAsia="仿宋" w:hAnsi="仿宋" w:cs="仿宋" w:hint="eastAsia"/>
          <w:kern w:val="2"/>
          <w:sz w:val="28"/>
          <w:szCs w:val="28"/>
        </w:rPr>
        <w:t>哲学、宗教、教育研究小组的创始人兼主任，是宗教教育领域跨学科研究的专家，在牛津大学领导宗教教育教学达十年之久。20多年来，他从事档案、实证和理论的学术研究，并在教育与公民权利、文学、哲学等方面进行研究。</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5.项目大纲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“国际社会”分析</w:t>
      </w:r>
    </w:p>
    <w:p w:rsidR="001F14B8" w:rsidRDefault="001F14B8" w:rsidP="001F14B8">
      <w:pPr>
        <w:rPr>
          <w:rFonts w:ascii="仿宋" w:eastAsia="仿宋" w:hAnsi="仿宋" w:cs="仿宋"/>
          <w:sz w:val="28"/>
          <w:szCs w:val="28"/>
        </w:rPr>
      </w:pPr>
      <w:r>
        <w:rPr>
          <w:rFonts w:ascii="仿宋" w:eastAsia="仿宋" w:hAnsi="仿宋" w:cs="仿宋" w:hint="eastAsia"/>
          <w:sz w:val="28"/>
          <w:szCs w:val="28"/>
        </w:rPr>
        <w:t xml:space="preserve">    解析模型在教育及政策制定过程中的广泛应用</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当代文化及身份认同</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教育在全球“南北合作”中的表现</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探讨分析在教育领域有影响力的全球政策参与者：世界银行&amp;经济合作与发展组织</w:t>
      </w:r>
    </w:p>
    <w:p w:rsidR="001F14B8" w:rsidRDefault="001F14B8" w:rsidP="001F14B8">
      <w:pPr>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二、《公共卫生与生物医学：冠状病毒“战疫”》</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1.项目背景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2020年初，一场没有硝烟的战役悄然打响。抗击新型冠状病毒疫情不仅是媒体铺天盖地的宣传和号召，更是每个家庭的幸福所在和个人的生命安全所系。冠状病毒是什么？这是一种怎样的传染疾病？如何进行自我防护？</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课程将在海外名校教授的指导下进行，帮助学生构建公共卫生与生物医学知识体系，特别是冠状病毒的相关知识，全面提升解决现实问题的能力，为未来升学和求职奠定坚实的基础。</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2.项目介绍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学生将在课程中学习公共卫生与一般预防医学、传染病、冠状病毒爆发、感染和免疫反应的相关知识。项目结束时，学生能运用所学知识解决现实问题，提交项目报告，进行成果展示。</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3.相关专业</w:t>
      </w:r>
    </w:p>
    <w:p w:rsidR="001F14B8" w:rsidRDefault="001F14B8" w:rsidP="001F14B8">
      <w:pPr>
        <w:ind w:firstLineChars="200" w:firstLine="560"/>
      </w:pPr>
      <w:r>
        <w:rPr>
          <w:rFonts w:ascii="仿宋" w:eastAsia="仿宋" w:hAnsi="仿宋" w:cs="仿宋" w:hint="eastAsia"/>
          <w:sz w:val="28"/>
          <w:szCs w:val="28"/>
        </w:rPr>
        <w:t>医药学、免疫学、生物学等相关专业的学生。</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4.授课教师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牛津大学纳菲尔德医学系Baird教授</w:t>
      </w:r>
    </w:p>
    <w:p w:rsidR="001F14B8" w:rsidRDefault="001F14B8" w:rsidP="001F14B8">
      <w:pPr>
        <w:ind w:firstLineChars="200" w:firstLine="560"/>
      </w:pPr>
      <w:r>
        <w:rPr>
          <w:rFonts w:ascii="仿宋" w:eastAsia="仿宋" w:hAnsi="仿宋" w:cs="仿宋" w:hint="eastAsia"/>
          <w:sz w:val="28"/>
          <w:szCs w:val="28"/>
        </w:rPr>
        <w:t>Baird是牛津大学纳菲尔德医学系疟疾学教授，也是印度尼西亚雅加达Eijkman-Oxford临床研究中心主任。他获得马里兰大学微生物学学士学位、生物化学硕士学位，以及杜兰大学医学动物学博士学位。他长期专注于间日疟原虫疟疾研究，特别是G6PD缺乏症和细胞色素P-450 2D6药物遗传学问题。他的实验室进行治疗间日疟原虫复</w:t>
      </w:r>
      <w:r>
        <w:rPr>
          <w:rFonts w:ascii="仿宋" w:eastAsia="仿宋" w:hAnsi="仿宋" w:cs="仿宋" w:hint="eastAsia"/>
          <w:sz w:val="28"/>
          <w:szCs w:val="28"/>
        </w:rPr>
        <w:lastRenderedPageBreak/>
        <w:t>发的临床试验，此外还进行G6PD缺乏生物化学、诊断和流行病学的实验、现场研究。</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5.项目大纲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公共卫生与一般预防医学：“预防医学是指以人群为研究对象，应用宏观与微观技术手段，研究影响健康因素及其作用规律，阐明外界环境因素与人群健康的相互关系，制定公共卫生策略与措施，以达到预防疾病增进健康延长寿命提高生命质量为目标的一门医学学科”。学习公共卫生的概念、原则等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传染病定义、类型与成因：传染病是由各种病原体引起的能在人与人、动物与动物或人与动物之间相互传播的一类疾病。学习传染病基本知识，探究严重疾病传播以及如何自我防护</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冠状病毒爆发：了解冠状病毒爆发的过程和疫情预测</w:t>
      </w:r>
    </w:p>
    <w:p w:rsidR="001F14B8" w:rsidRDefault="001F14B8" w:rsidP="001F14B8">
      <w:pPr>
        <w:ind w:firstLineChars="200" w:firstLine="560"/>
      </w:pPr>
      <w:r>
        <w:rPr>
          <w:rFonts w:ascii="仿宋" w:eastAsia="仿宋" w:hAnsi="仿宋" w:cs="仿宋" w:hint="eastAsia"/>
          <w:sz w:val="28"/>
          <w:szCs w:val="28"/>
        </w:rPr>
        <w:t>冠状病毒感染和免疫反应：掌握冠状病毒传染和人体免疫反应，对冠状病毒的传播形成自己的独到见解</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三、《机器人、人工智能与计算机网络》</w:t>
      </w:r>
    </w:p>
    <w:p w:rsidR="001F14B8" w:rsidRDefault="001F14B8" w:rsidP="001F14B8">
      <w:pPr>
        <w:ind w:firstLineChars="200" w:firstLine="562"/>
        <w:rPr>
          <w:rFonts w:ascii="仿宋" w:eastAsia="仿宋" w:hAnsi="仿宋" w:cs="仿宋"/>
          <w:sz w:val="28"/>
          <w:szCs w:val="28"/>
        </w:rPr>
      </w:pPr>
      <w:r>
        <w:rPr>
          <w:rFonts w:ascii="仿宋" w:eastAsia="仿宋" w:hAnsi="仿宋" w:cs="仿宋" w:hint="eastAsia"/>
          <w:b/>
          <w:bCs/>
          <w:sz w:val="28"/>
          <w:szCs w:val="28"/>
        </w:rPr>
        <w:t>1.项目背景</w:t>
      </w:r>
      <w:r>
        <w:rPr>
          <w:rFonts w:ascii="仿宋" w:eastAsia="仿宋" w:hAnsi="仿宋" w:cs="仿宋" w:hint="eastAsia"/>
          <w:sz w:val="28"/>
          <w:szCs w:val="28"/>
        </w:rPr>
        <w:t xml:space="preserve">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人工智能是计算机学科的一个重要分支，被认为是二十一世纪三大尖端技术（基因工程、纳米科学、人工智能）之一。近三十年来人工智能技术获得了迅速发展，在很多领域获得了广泛应用，并取得了丰硕成果。人工智能已逐步成为一个独立的领域，无论在理论和实践上都已自成体系。人工智能目前不仅在计算机领域得到广泛发挥，在机器人、经济政治决策、控制系统、仿真系统中都得到广泛应用。神</w:t>
      </w:r>
      <w:r>
        <w:rPr>
          <w:rFonts w:ascii="仿宋" w:eastAsia="仿宋" w:hAnsi="仿宋" w:cs="仿宋" w:hint="eastAsia"/>
          <w:sz w:val="28"/>
          <w:szCs w:val="28"/>
        </w:rPr>
        <w:lastRenderedPageBreak/>
        <w:t>经网络是人工智能领域的重要部分，它通过模仿人脑结构及其功能的信息处理系统，数据的学习、结构和算法实现对大脑的研究，提高人们信息处理的智能化水平。</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2.项目介绍</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本课程教授人工智能的基本方法，展示大量的编程示例和AI技术来解释各种各样的信息来源，使用它来实现智能、有目标导向的行为。通过教授计算机网络的基本原则来提高学生的理解能力。在自上而下分析法中，带领学生检查协议栈的应用程序，传输、网络和数据链路层。</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3.相关专业</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有计算机、人工智能专业基础的学生，对计算机、人工智能有兴趣的学生。</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具有高数基础、编程基础，数据结构算法较好的学生。</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4.授课教师</w:t>
      </w:r>
    </w:p>
    <w:p w:rsidR="001F14B8" w:rsidRDefault="001F14B8" w:rsidP="001F14B8">
      <w:pPr>
        <w:ind w:firstLineChars="200" w:firstLine="560"/>
        <w:rPr>
          <w:rFonts w:ascii="sans-serif" w:eastAsia="sans-serif" w:hAnsi="sans-serif" w:cs="sans-serif"/>
          <w:color w:val="2B2B2B"/>
          <w:szCs w:val="21"/>
          <w:shd w:val="clear" w:color="auto" w:fill="FFFFFF"/>
        </w:rPr>
      </w:pPr>
      <w:r>
        <w:rPr>
          <w:rFonts w:ascii="仿宋" w:eastAsia="仿宋" w:hAnsi="仿宋" w:cs="仿宋" w:hint="eastAsia"/>
          <w:sz w:val="28"/>
          <w:szCs w:val="28"/>
        </w:rPr>
        <w:t>牛津大学计算机科学系Vicary教授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Vicary教授在牛津大学的曼斯菲尔德学院获得了物理学学士学位，在剑桥大学的DAMTP和Trinity Hall学习了第三部分数学课程。随后他在伦敦帝国理工学院获得范畴理论和量子信息基础博士学位。此后，他一直在牛津大学工作，于2013年成为高级研究员。他的工作是研究高级范畴理论及其在计算机科学和数学中的应用，特别是与量子结构相关的领域。</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5.项目大纲</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lastRenderedPageBreak/>
        <w:t>互联网和基本网络协议</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人工智能概论</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论文课程，围绕网络路由消息</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人工智能和问题解决</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网络的名称和地址</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机器学习的神经网络</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逻辑程序设计，计划和问题解决</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四、《实证金融学在股市中的运用》</w:t>
      </w:r>
    </w:p>
    <w:p w:rsidR="001F14B8" w:rsidRDefault="001F14B8" w:rsidP="001F14B8">
      <w:pPr>
        <w:ind w:firstLineChars="200" w:firstLine="562"/>
        <w:rPr>
          <w:rFonts w:ascii="仿宋" w:eastAsia="仿宋" w:hAnsi="仿宋" w:cs="仿宋"/>
          <w:sz w:val="28"/>
          <w:szCs w:val="28"/>
        </w:rPr>
      </w:pPr>
      <w:r>
        <w:rPr>
          <w:rFonts w:ascii="仿宋" w:eastAsia="仿宋" w:hAnsi="仿宋" w:cs="仿宋" w:hint="eastAsia"/>
          <w:b/>
          <w:bCs/>
          <w:sz w:val="28"/>
          <w:szCs w:val="28"/>
        </w:rPr>
        <w:t>1.项目背景</w:t>
      </w:r>
      <w:r>
        <w:rPr>
          <w:rFonts w:ascii="仿宋" w:eastAsia="仿宋" w:hAnsi="仿宋" w:cs="仿宋" w:hint="eastAsia"/>
          <w:sz w:val="28"/>
          <w:szCs w:val="28"/>
        </w:rPr>
        <w:t xml:space="preserve">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实证金融侧重于使用金融计量技术实证分析金融市场中的现实问题。实证金融研究是一个“发现”过程，这种发现主要基于金融现象本身，而不依赖于我们想从金融现象中发现什么。实证金融研究投资组合理论和资产配置、资产定价和因子模型、市场有效性、汇率和利率的拟合和预测、风险价值（VaR）等。实证金融研究是一个观察、解释所看到的金融现象然后进行预测的过程。</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2.项目介绍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课程介绍，讲解实证分析中一些主要课题。目的是使学生了解当前金融市场实证研究的问题、方法和目的。焦点主要集中股票市场，重点是模型、方法以及实证结果及其解析。</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3.相关专业</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金融、经济、金融工程等商科专业，以及对投资理财、股市感兴趣的学生。</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lastRenderedPageBreak/>
        <w:t>4.授课教师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剑桥大学贾奇商学院金融学Raghavendra Rau教授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他是欧洲金融协会前任主席和“金融管理”前任编辑。剑桥另类金融中心(CCAF)创始人、主任，剑桥公司治理网络(CCGN)成员。</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Raghavendra Rau 曾于2008-2009年在旧金山担任巴克莱全球投资者(Barclays Global Investors)负责人，该公司是当时全球最大的资产管理公司。曾任《企业金融期刊》《银行与金融期刊》《金融评论》《金融季刊》等杂志副主编，其研究成果经常被包括《纽约时报》《金融时报》《华尔街日报》和《经济学人》在内的大众媒体报道。</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5.项目大纲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金融及金融机构概述</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货币与货币制度</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商业银行及其业务</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股市原理及赚钱途径</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在股市中运用金融学</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五、《新闻与传播、传媒：社交媒体平台消费者行为与营销研究》</w:t>
      </w:r>
    </w:p>
    <w:p w:rsidR="001F14B8" w:rsidRDefault="001F14B8" w:rsidP="001F14B8">
      <w:pPr>
        <w:ind w:firstLineChars="200" w:firstLine="562"/>
        <w:rPr>
          <w:rFonts w:ascii="仿宋" w:eastAsia="仿宋" w:hAnsi="仿宋" w:cs="仿宋"/>
          <w:sz w:val="28"/>
          <w:szCs w:val="28"/>
        </w:rPr>
      </w:pPr>
      <w:r>
        <w:rPr>
          <w:rFonts w:ascii="仿宋" w:eastAsia="仿宋" w:hAnsi="仿宋" w:cs="仿宋" w:hint="eastAsia"/>
          <w:b/>
          <w:bCs/>
          <w:sz w:val="28"/>
          <w:szCs w:val="28"/>
        </w:rPr>
        <w:t>1.项目背景</w:t>
      </w:r>
      <w:r>
        <w:rPr>
          <w:rFonts w:ascii="仿宋" w:eastAsia="仿宋" w:hAnsi="仿宋" w:cs="仿宋" w:hint="eastAsia"/>
          <w:sz w:val="28"/>
          <w:szCs w:val="28"/>
        </w:rPr>
        <w:t xml:space="preserve"> </w:t>
      </w:r>
    </w:p>
    <w:p w:rsidR="001F14B8" w:rsidRDefault="001F14B8" w:rsidP="001F14B8">
      <w:pPr>
        <w:pStyle w:val="a3"/>
        <w:widowControl/>
        <w:spacing w:beforeAutospacing="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21世纪初以来，人们获取新闻信息的渠道和方式呈指数增长，数字和社交媒体在引导我们接收什么样的信息以及如何访问、处理和共享信息。网络传播的信息和图像会影响人们的工作生活、社交互动，甚至人们的情感。正因为社交媒体传播的信息有巨大的影响力，所以我们更需要学习如何在数字世界中进行交流，如何评估和引导社交媒</w:t>
      </w:r>
      <w:r>
        <w:rPr>
          <w:rFonts w:ascii="仿宋" w:eastAsia="仿宋" w:hAnsi="仿宋" w:cs="仿宋" w:hint="eastAsia"/>
          <w:kern w:val="2"/>
          <w:sz w:val="28"/>
          <w:szCs w:val="28"/>
        </w:rPr>
        <w:lastRenderedPageBreak/>
        <w:t>体正确传播社会信息，如何通过社交媒体负责任地传播信息以及如何运用社交媒体进行在线学术研究。</w:t>
      </w:r>
    </w:p>
    <w:p w:rsidR="001F14B8" w:rsidRDefault="001F14B8" w:rsidP="001F14B8">
      <w:pPr>
        <w:pStyle w:val="a3"/>
        <w:widowControl/>
        <w:spacing w:beforeAutospacing="0" w:afterAutospacing="0"/>
        <w:ind w:firstLineChars="200" w:firstLine="560"/>
        <w:jc w:val="both"/>
        <w:rPr>
          <w:rFonts w:ascii="仿宋" w:eastAsia="仿宋" w:hAnsi="仿宋" w:cs="仿宋"/>
          <w:kern w:val="2"/>
          <w:sz w:val="28"/>
          <w:szCs w:val="28"/>
        </w:rPr>
      </w:pPr>
      <w:r>
        <w:rPr>
          <w:rFonts w:ascii="仿宋" w:eastAsia="仿宋" w:hAnsi="仿宋" w:cs="仿宋" w:hint="eastAsia"/>
          <w:kern w:val="2"/>
          <w:sz w:val="28"/>
          <w:szCs w:val="28"/>
        </w:rPr>
        <w:t>营销，指企业发现或发掘准消费者需求，让消费者了解该产品进而购买该产品的过程。市场营销又称作市场学、市场行销或行销学，是在创造、沟通、传播和交换产品中，为顾客、客户、合作伙伴以及整个社会带来经济价值的活动、过程和体系。MBA、EMBA等经典商管课程均将市场营销作为对管理者进行管理和教育的重要模块。</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2.项目介绍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项目将介绍基本的传播理论，让学生了解数字、社交、移动媒体以及市场营销。通过一段时间的学习，学生将在该领域提出研究主题的构想，定义研究问题，提出研究设计，收集和分析数据最终完成研究课题。</w:t>
      </w: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3.相关专业</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市场营销、广告、传媒学、数字媒体、传播学、社会学等专业的学生</w:t>
      </w:r>
    </w:p>
    <w:p w:rsidR="001F14B8" w:rsidRDefault="001F14B8" w:rsidP="001F14B8">
      <w:pPr>
        <w:ind w:firstLineChars="200" w:firstLine="562"/>
        <w:rPr>
          <w:rFonts w:ascii="仿宋" w:eastAsia="仿宋" w:hAnsi="仿宋" w:cs="仿宋"/>
          <w:sz w:val="28"/>
          <w:szCs w:val="28"/>
        </w:rPr>
      </w:pPr>
      <w:r>
        <w:rPr>
          <w:rFonts w:ascii="仿宋" w:eastAsia="仿宋" w:hAnsi="仿宋" w:cs="仿宋" w:hint="eastAsia"/>
          <w:b/>
          <w:bCs/>
          <w:sz w:val="28"/>
          <w:szCs w:val="28"/>
        </w:rPr>
        <w:t>4.授课教师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剑桥大学赛尔文学院</w:t>
      </w:r>
      <w:r>
        <w:rPr>
          <w:rFonts w:ascii="仿宋" w:eastAsia="仿宋" w:hAnsi="仿宋" w:cs="仿宋"/>
          <w:sz w:val="28"/>
          <w:szCs w:val="28"/>
        </w:rPr>
        <w:t> Patrick</w:t>
      </w:r>
      <w:r>
        <w:rPr>
          <w:rFonts w:ascii="仿宋" w:eastAsia="仿宋" w:hAnsi="仿宋" w:cs="仿宋" w:hint="eastAsia"/>
          <w:sz w:val="28"/>
          <w:szCs w:val="28"/>
        </w:rPr>
        <w:t>教授</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Patrick</w:t>
      </w:r>
      <w:r>
        <w:rPr>
          <w:rFonts w:ascii="仿宋" w:eastAsia="仿宋" w:hAnsi="仿宋" w:cs="仿宋"/>
          <w:sz w:val="28"/>
          <w:szCs w:val="28"/>
        </w:rPr>
        <w:t>教授在牛津大学完成了他的研究生</w:t>
      </w:r>
      <w:r>
        <w:rPr>
          <w:rFonts w:ascii="仿宋" w:eastAsia="仿宋" w:hAnsi="仿宋" w:cs="仿宋" w:hint="eastAsia"/>
          <w:sz w:val="28"/>
          <w:szCs w:val="28"/>
        </w:rPr>
        <w:t>学习</w:t>
      </w:r>
      <w:r>
        <w:rPr>
          <w:rFonts w:ascii="仿宋" w:eastAsia="仿宋" w:hAnsi="仿宋" w:cs="仿宋"/>
          <w:sz w:val="28"/>
          <w:szCs w:val="28"/>
        </w:rPr>
        <w:t>，</w:t>
      </w:r>
      <w:r>
        <w:rPr>
          <w:rFonts w:ascii="仿宋" w:eastAsia="仿宋" w:hAnsi="仿宋" w:cs="仿宋" w:hint="eastAsia"/>
          <w:sz w:val="28"/>
          <w:szCs w:val="28"/>
        </w:rPr>
        <w:t>随后</w:t>
      </w:r>
      <w:r>
        <w:rPr>
          <w:rFonts w:ascii="仿宋" w:eastAsia="仿宋" w:hAnsi="仿宋" w:cs="仿宋"/>
          <w:sz w:val="28"/>
          <w:szCs w:val="28"/>
        </w:rPr>
        <w:t>加入了剑桥大学。他在知识分子社会学方面的研究得到了各种机构的资助，包括英国科学院、欧洲研究理事会和Leverhulme Trust</w:t>
      </w:r>
      <w:r>
        <w:rPr>
          <w:rFonts w:ascii="仿宋" w:eastAsia="仿宋" w:hAnsi="仿宋" w:cs="仿宋" w:hint="eastAsia"/>
          <w:sz w:val="28"/>
          <w:szCs w:val="28"/>
        </w:rPr>
        <w:t>，</w:t>
      </w:r>
      <w:r>
        <w:rPr>
          <w:rFonts w:ascii="仿宋" w:eastAsia="仿宋" w:hAnsi="仿宋" w:cs="仿宋"/>
          <w:sz w:val="28"/>
          <w:szCs w:val="28"/>
        </w:rPr>
        <w:t>他的著作已被翻译成10多种语言。Patrick教授是《国际政治、文化和社会杂志》的主编，他还在《欧洲社会理论杂志》、《古典社会学杂志》、《当代社</w:t>
      </w:r>
      <w:r>
        <w:rPr>
          <w:rFonts w:ascii="仿宋" w:eastAsia="仿宋" w:hAnsi="仿宋" w:cs="仿宋"/>
          <w:sz w:val="28"/>
          <w:szCs w:val="28"/>
        </w:rPr>
        <w:lastRenderedPageBreak/>
        <w:t>会学》和《区分》担任编辑职务。他曾在世界各地担任访问职务，包括开普敦大学、索邦大学、柏林洪堡大学、布朗大学、英属哥伦比亚大学、智利康塞普西翁大学、伦敦政治经济学院和巴黎政治学院。</w:t>
      </w:r>
    </w:p>
    <w:p w:rsidR="001F14B8" w:rsidRDefault="001F14B8" w:rsidP="001F14B8">
      <w:pPr>
        <w:ind w:firstLineChars="200" w:firstLine="562"/>
      </w:pPr>
      <w:r>
        <w:rPr>
          <w:rFonts w:ascii="仿宋" w:eastAsia="仿宋" w:hAnsi="仿宋" w:cs="仿宋" w:hint="eastAsia"/>
          <w:b/>
          <w:bCs/>
          <w:sz w:val="28"/>
          <w:szCs w:val="28"/>
        </w:rPr>
        <w:t xml:space="preserve">5.项目大纲 </w:t>
      </w:r>
    </w:p>
    <w:p w:rsidR="001F14B8" w:rsidRDefault="001F14B8" w:rsidP="001F14B8">
      <w:pPr>
        <w:ind w:firstLineChars="200" w:firstLine="560"/>
        <w:rPr>
          <w:rFonts w:ascii="仿宋" w:eastAsia="仿宋" w:hAnsi="仿宋" w:cs="仿宋"/>
          <w:sz w:val="28"/>
          <w:szCs w:val="28"/>
        </w:rPr>
      </w:pPr>
      <w:r>
        <w:rPr>
          <w:rFonts w:ascii="仿宋" w:eastAsia="仿宋" w:hAnsi="仿宋" w:cs="仿宋" w:hint="eastAsia"/>
          <w:sz w:val="28"/>
          <w:szCs w:val="28"/>
        </w:rPr>
        <w:t xml:space="preserve">沟通模型与信息类型 </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评估与分析网络行为</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 xml:space="preserve">谣言与口碑广告的线上传播 </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 xml:space="preserve">线上社群与社交平台 </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 xml:space="preserve">设计研究课题 </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内容分析法与调查问卷法：内容分析法介绍及操作程序、内容分析法中的编码表、调查问卷法介绍及操作程序、问题的形式以及不同的量表类型、概率抽样与非概率抽样</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数据分析及解读I：皮尔森相关性分析及实操演练、卡方分析及实操演练、单样本方差及实操演练、T检验及实操演练</w:t>
      </w:r>
    </w:p>
    <w:p w:rsidR="001F14B8" w:rsidRDefault="001F14B8" w:rsidP="001F14B8">
      <w:pPr>
        <w:ind w:firstLineChars="200" w:firstLine="560"/>
        <w:rPr>
          <w:rFonts w:ascii="仿宋" w:eastAsia="仿宋" w:hAnsi="仿宋" w:cs="仿宋"/>
          <w:sz w:val="28"/>
          <w:szCs w:val="28"/>
        </w:rPr>
      </w:pPr>
      <w:r>
        <w:rPr>
          <w:rFonts w:ascii="仿宋" w:eastAsia="仿宋" w:hAnsi="仿宋" w:cs="仿宋"/>
          <w:sz w:val="28"/>
          <w:szCs w:val="28"/>
        </w:rPr>
        <w:t>数据分析及解读II：多元方差及实操演练、简单线性回归及实操演练、多重线性回归及实操演练</w:t>
      </w:r>
    </w:p>
    <w:p w:rsidR="001F14B8" w:rsidRDefault="001F14B8" w:rsidP="001F14B8">
      <w:pPr>
        <w:widowControl/>
        <w:jc w:val="left"/>
        <w:rPr>
          <w:rFonts w:ascii="仿宋" w:eastAsia="仿宋" w:hAnsi="仿宋" w:cs="仿宋"/>
          <w:sz w:val="28"/>
          <w:szCs w:val="28"/>
        </w:rPr>
      </w:pPr>
    </w:p>
    <w:p w:rsidR="001F14B8" w:rsidRDefault="001F14B8" w:rsidP="001F14B8">
      <w:pPr>
        <w:ind w:firstLineChars="200" w:firstLine="562"/>
        <w:rPr>
          <w:rFonts w:ascii="仿宋" w:eastAsia="仿宋" w:hAnsi="仿宋" w:cs="仿宋"/>
          <w:b/>
          <w:bCs/>
          <w:sz w:val="28"/>
          <w:szCs w:val="28"/>
        </w:rPr>
      </w:pPr>
      <w:r>
        <w:rPr>
          <w:rFonts w:ascii="仿宋" w:eastAsia="仿宋" w:hAnsi="仿宋" w:cs="仿宋" w:hint="eastAsia"/>
          <w:b/>
          <w:bCs/>
          <w:sz w:val="28"/>
          <w:szCs w:val="28"/>
        </w:rPr>
        <w:t>（以上课程内容，授课教师可能根据开课时间的不同进行调整）</w:t>
      </w:r>
    </w:p>
    <w:p w:rsidR="001F14B8" w:rsidRDefault="001F14B8" w:rsidP="001F14B8">
      <w:pPr>
        <w:ind w:firstLineChars="200" w:firstLine="560"/>
        <w:rPr>
          <w:rFonts w:ascii="仿宋" w:eastAsia="仿宋" w:hAnsi="仿宋" w:cs="仿宋"/>
          <w:sz w:val="28"/>
          <w:szCs w:val="28"/>
        </w:rPr>
      </w:pPr>
    </w:p>
    <w:p w:rsidR="001F14B8" w:rsidRDefault="001F14B8" w:rsidP="001F14B8">
      <w:pPr>
        <w:ind w:firstLineChars="200" w:firstLine="560"/>
        <w:rPr>
          <w:rFonts w:ascii="仿宋" w:eastAsia="仿宋" w:hAnsi="仿宋" w:cs="仿宋"/>
          <w:sz w:val="28"/>
          <w:szCs w:val="28"/>
        </w:rPr>
      </w:pPr>
    </w:p>
    <w:p w:rsidR="001F14B8" w:rsidRDefault="001F14B8" w:rsidP="001F14B8">
      <w:pPr>
        <w:ind w:firstLineChars="200" w:firstLine="560"/>
        <w:rPr>
          <w:rFonts w:ascii="仿宋" w:eastAsia="仿宋" w:hAnsi="仿宋" w:cs="仿宋"/>
          <w:sz w:val="28"/>
          <w:szCs w:val="28"/>
        </w:rPr>
      </w:pPr>
    </w:p>
    <w:p w:rsidR="001F14B8" w:rsidRDefault="001F14B8" w:rsidP="001F14B8">
      <w:pPr>
        <w:ind w:firstLineChars="200" w:firstLine="560"/>
        <w:rPr>
          <w:rFonts w:ascii="仿宋" w:eastAsia="仿宋" w:hAnsi="仿宋" w:cs="仿宋"/>
          <w:sz w:val="28"/>
          <w:szCs w:val="28"/>
        </w:rPr>
      </w:pPr>
    </w:p>
    <w:p w:rsidR="00651486" w:rsidRDefault="00651486"/>
    <w:sectPr w:rsidR="00651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00" w:usb3="00000000" w:csb0="0004009F" w:csb1="DFD70000"/>
  </w:font>
  <w:font w:name="仿宋">
    <w:panose1 w:val="02010609060101010101"/>
    <w:charset w:val="86"/>
    <w:family w:val="modern"/>
    <w:pitch w:val="fixed"/>
    <w:sig w:usb0="800002BF" w:usb1="38CF7CFA" w:usb2="00000016" w:usb3="00000000" w:csb0="00040001"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B8"/>
    <w:rsid w:val="001F14B8"/>
    <w:rsid w:val="0065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4270C-4EF6-4BE8-9498-ABF3D13C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4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F14B8"/>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2022-06-01T01:02:00Z</dcterms:created>
  <dcterms:modified xsi:type="dcterms:W3CDTF">2022-06-01T01:02:00Z</dcterms:modified>
</cp:coreProperties>
</file>